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59484C"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6F716B0" w:rsidR="006D3771" w:rsidRPr="008B6B20" w:rsidRDefault="001279C3" w:rsidP="006D3771">
            <w:pPr>
              <w:jc w:val="center"/>
              <w:rPr>
                <w:sz w:val="32"/>
                <w:szCs w:val="32"/>
                <w:lang w:val="en-GB"/>
              </w:rPr>
            </w:pPr>
            <w:r>
              <w:rPr>
                <w:sz w:val="32"/>
                <w:szCs w:val="32"/>
                <w:lang w:val="en-GB"/>
              </w:rPr>
              <w:t>Ireland</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263AABD0" w:rsidR="008B6B20" w:rsidRPr="00574B1E" w:rsidRDefault="00000000" w:rsidP="008B6B20">
      <w:pPr>
        <w:rPr>
          <w:rFonts w:ascii="Calibri" w:hAnsi="Calibri" w:cs="Calibri"/>
          <w:lang w:val="en-US"/>
        </w:rPr>
      </w:pPr>
      <w:hyperlink r:id="rId11" w:history="1">
        <w:r w:rsidR="001279C3">
          <w:rPr>
            <w:rStyle w:val="Hyperlink"/>
            <w:rFonts w:ascii="Calibri" w:hAnsi="Calibri" w:cs="Calibri"/>
            <w:lang w:val="en-US"/>
          </w:rPr>
          <w:t>CEPEJ Evaluation Report - Country Profiles – Ireland</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5654BACA"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1279C3">
          <w:rPr>
            <w:rStyle w:val="Hyperlink"/>
            <w:rFonts w:ascii="Calibri" w:hAnsi="Calibri" w:cs="Calibri"/>
            <w:lang w:val="en-US"/>
          </w:rPr>
          <w:t>CEPEJ Country fiche - Scoreboard - Ireland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6C35D022" w14:textId="77777777" w:rsidR="00F149DF" w:rsidRDefault="00F149DF" w:rsidP="00F149DF">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 xml:space="preserve"> Ireland</w:t>
      </w:r>
    </w:p>
    <w:p w14:paraId="677E9BBD" w14:textId="77777777" w:rsidR="00F149DF" w:rsidRDefault="00F149DF" w:rsidP="00F149DF">
      <w:pPr>
        <w:pStyle w:val="Default"/>
        <w:jc w:val="both"/>
        <w:rPr>
          <w:rFonts w:asciiTheme="minorHAnsi" w:eastAsiaTheme="minorEastAsia" w:hAnsiTheme="minorHAnsi" w:cstheme="minorHAnsi"/>
          <w:b/>
          <w:bCs/>
          <w:color w:val="auto"/>
          <w:sz w:val="20"/>
          <w:szCs w:val="20"/>
          <w:lang w:val="en-GB"/>
        </w:rPr>
      </w:pPr>
    </w:p>
    <w:p w14:paraId="7F29975E" w14:textId="77777777" w:rsidR="00F149DF" w:rsidRPr="00FF2525" w:rsidRDefault="00F149DF" w:rsidP="00F149DF">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2176F8DC" w14:textId="77777777" w:rsidR="00F149DF" w:rsidRDefault="00F149DF">
      <w:pPr>
        <w:rPr>
          <w:rFonts w:cs="Arial"/>
          <w:color w:val="FFFFFF" w:themeColor="background1"/>
          <w:sz w:val="22"/>
          <w:szCs w:val="22"/>
          <w:shd w:val="clear" w:color="auto" w:fill="1F3864" w:themeFill="accent1" w:themeFillShade="80"/>
          <w:lang w:val="en-US"/>
        </w:rPr>
      </w:pPr>
    </w:p>
    <w:p w14:paraId="7B53363E" w14:textId="77777777" w:rsidR="00F149DF" w:rsidRDefault="00F149DF">
      <w:pPr>
        <w:rPr>
          <w:rFonts w:cs="Arial"/>
          <w:color w:val="FFFFFF" w:themeColor="background1"/>
          <w:sz w:val="22"/>
          <w:szCs w:val="22"/>
          <w:shd w:val="clear" w:color="auto" w:fill="1F3864" w:themeFill="accent1" w:themeFillShade="80"/>
          <w:lang w:val="en-US"/>
        </w:rPr>
      </w:pPr>
    </w:p>
    <w:p w14:paraId="5DAE1F82" w14:textId="77777777" w:rsidR="00F149DF" w:rsidRPr="00ED6C54" w:rsidRDefault="00F149DF" w:rsidP="00F149DF">
      <w:pPr>
        <w:pStyle w:val="ListParagraph"/>
        <w:numPr>
          <w:ilvl w:val="0"/>
          <w:numId w:val="13"/>
        </w:numPr>
        <w:spacing w:line="259" w:lineRule="auto"/>
        <w:rPr>
          <w:rFonts w:cstheme="minorHAnsi"/>
          <w:lang w:val="en-GB"/>
        </w:rPr>
      </w:pPr>
      <w:bookmarkStart w:id="3" w:name="_Hlk152144262"/>
      <w:r w:rsidRPr="00ED6C54">
        <w:rPr>
          <w:rFonts w:cstheme="minorHAnsi"/>
          <w:i/>
          <w:iCs/>
          <w:lang w:val="en-GB"/>
        </w:rPr>
        <w:t xml:space="preserve">LENGTH OF PROCEEDINGS </w:t>
      </w:r>
    </w:p>
    <w:p w14:paraId="7BFBA34D" w14:textId="77777777" w:rsidR="00F149DF" w:rsidRPr="00ED6C54" w:rsidRDefault="00F149DF" w:rsidP="00F149DF">
      <w:pPr>
        <w:pStyle w:val="ListParagraph"/>
        <w:spacing w:line="259" w:lineRule="auto"/>
        <w:rPr>
          <w:rFonts w:cstheme="minorHAnsi"/>
          <w:lang w:val="en-GB"/>
        </w:rPr>
      </w:pPr>
    </w:p>
    <w:p w14:paraId="7FB4C272" w14:textId="77777777" w:rsidR="00F149DF" w:rsidRPr="00B9564F" w:rsidRDefault="00F149DF" w:rsidP="00F149DF">
      <w:pPr>
        <w:jc w:val="both"/>
        <w:rPr>
          <w:rFonts w:cstheme="minorHAnsi"/>
          <w:lang w:val="en-GB"/>
        </w:rPr>
      </w:pPr>
      <w:r w:rsidRPr="00B9564F">
        <w:rPr>
          <w:rFonts w:cstheme="minorHAnsi"/>
          <w:u w:val="single"/>
          <w:lang w:val="en-GB"/>
        </w:rPr>
        <w:t>McFarlane group</w:t>
      </w:r>
      <w:r w:rsidRPr="00B9564F">
        <w:rPr>
          <w:rFonts w:cstheme="minorHAnsi"/>
          <w:lang w:val="en-GB"/>
        </w:rPr>
        <w:t xml:space="preserve"> (31333/06) (ENHA): This group of cases concerns the excessive length of both criminal and civil proceedings and the lack of an effective remedy for these problems (violations of Articles 6 § 1 and 13).  At its last examination in September 202</w:t>
      </w:r>
      <w:r>
        <w:rPr>
          <w:rFonts w:cstheme="minorHAnsi"/>
          <w:lang w:val="en-GB"/>
        </w:rPr>
        <w:t>4</w:t>
      </w:r>
      <w:r w:rsidRPr="00B9564F">
        <w:rPr>
          <w:rFonts w:cstheme="minorHAnsi"/>
          <w:lang w:val="en-GB"/>
        </w:rPr>
        <w:t xml:space="preserve">, the Committee </w:t>
      </w:r>
      <w:r w:rsidRPr="00987ACD">
        <w:rPr>
          <w:rFonts w:cstheme="minorHAnsi"/>
          <w:lang w:val="en-GB"/>
        </w:rPr>
        <w:t xml:space="preserve">welcomed the enactment on 1 May 2024 of the Court </w:t>
      </w:r>
      <w:r w:rsidRPr="00987ACD">
        <w:rPr>
          <w:rFonts w:cstheme="minorHAnsi"/>
          <w:lang w:val="en-GB"/>
        </w:rPr>
        <w:lastRenderedPageBreak/>
        <w:t>Proceedings (Delays) Act 2024, establishing a statutory remedy for excessive length of proceedings in reply to the Committee's previous calls, considering this to be a significant milestone in the full execution of this case; and encouraged the authorities to continue to give the necessary priority to the establishment of the assessment mechanism so that the remedy can become fully operational and accessible without further delay</w:t>
      </w:r>
      <w:r w:rsidRPr="00B9564F">
        <w:rPr>
          <w:rFonts w:cstheme="minorHAnsi"/>
          <w:lang w:val="en-GB"/>
        </w:rPr>
        <w:t>.</w:t>
      </w:r>
    </w:p>
    <w:p w14:paraId="54948AD2" w14:textId="77777777" w:rsidR="00F149DF" w:rsidRPr="00B9564F" w:rsidRDefault="00F149DF" w:rsidP="00F149DF">
      <w:pPr>
        <w:spacing w:line="259" w:lineRule="auto"/>
        <w:jc w:val="both"/>
        <w:rPr>
          <w:rFonts w:cstheme="minorHAnsi"/>
          <w:lang w:val="en-GB"/>
        </w:rPr>
      </w:pPr>
      <w:r w:rsidRPr="00B9564F">
        <w:rPr>
          <w:rFonts w:cstheme="minorHAnsi"/>
          <w:lang w:val="en-GB"/>
        </w:rPr>
        <w:t xml:space="preserve">Presentation on </w:t>
      </w:r>
      <w:proofErr w:type="spellStart"/>
      <w:r w:rsidRPr="00B9564F">
        <w:rPr>
          <w:rFonts w:cstheme="minorHAnsi"/>
          <w:lang w:val="en-GB"/>
        </w:rPr>
        <w:t>Hudoc</w:t>
      </w:r>
      <w:proofErr w:type="spellEnd"/>
      <w:r>
        <w:rPr>
          <w:rFonts w:cstheme="minorHAnsi"/>
          <w:lang w:val="en-GB"/>
        </w:rPr>
        <w:t xml:space="preserve"> </w:t>
      </w:r>
      <w:r w:rsidRPr="00B9564F">
        <w:rPr>
          <w:rFonts w:cstheme="minorHAnsi"/>
          <w:lang w:val="en-GB"/>
        </w:rPr>
        <w:t xml:space="preserve">exec: </w:t>
      </w:r>
      <w:hyperlink r:id="rId16" w:history="1">
        <w:r w:rsidRPr="00B9564F">
          <w:rPr>
            <w:rFonts w:cstheme="minorHAnsi"/>
            <w:color w:val="0000FF"/>
            <w:u w:val="single"/>
            <w:lang w:val="en-GB"/>
          </w:rPr>
          <w:t>McFarlane</w:t>
        </w:r>
      </w:hyperlink>
      <w:r w:rsidRPr="00B9564F">
        <w:rPr>
          <w:rFonts w:cstheme="minorHAnsi"/>
          <w:lang w:val="en-GB"/>
        </w:rPr>
        <w:t xml:space="preserve"> </w:t>
      </w:r>
    </w:p>
    <w:p w14:paraId="619E7A6C" w14:textId="77777777" w:rsidR="00F149DF" w:rsidRPr="00B9564F" w:rsidRDefault="00000000" w:rsidP="00F149DF">
      <w:pPr>
        <w:spacing w:line="259" w:lineRule="auto"/>
        <w:jc w:val="both"/>
        <w:rPr>
          <w:rFonts w:cstheme="minorHAnsi"/>
          <w:lang w:val="en-GB"/>
        </w:rPr>
      </w:pPr>
      <w:hyperlink r:id="rId17" w:anchor="{%22fulltext%22:[%22McFarlane%22],%22display%22:[2],%22EXECIdentifier%22:[%22CM/Del/Dec(2020)1383/H46-10E%22]}" w:history="1">
        <w:r w:rsidR="00F149DF" w:rsidRPr="00B9564F">
          <w:rPr>
            <w:rFonts w:cstheme="minorHAnsi"/>
            <w:lang w:val="en-GB"/>
          </w:rPr>
          <w:t>Latest decisions</w:t>
        </w:r>
      </w:hyperlink>
      <w:r w:rsidR="00F149DF" w:rsidRPr="00B9564F">
        <w:rPr>
          <w:rFonts w:cstheme="minorHAnsi"/>
          <w:lang w:val="en-GB"/>
        </w:rPr>
        <w:t xml:space="preserve">: </w:t>
      </w:r>
      <w:hyperlink r:id="rId18" w:history="1">
        <w:r w:rsidR="00F149DF">
          <w:rPr>
            <w:rStyle w:val="Hyperlink"/>
            <w:lang w:val="en-GB"/>
          </w:rPr>
          <w:t>CM/Del/Dec(2024)1507/H46-14</w:t>
        </w:r>
      </w:hyperlink>
      <w:r w:rsidR="00F149DF">
        <w:rPr>
          <w:lang w:val="en-GB"/>
        </w:rPr>
        <w:t xml:space="preserve"> </w:t>
      </w:r>
      <w:r w:rsidR="00F149DF" w:rsidRPr="00B9564F">
        <w:rPr>
          <w:rFonts w:cstheme="minorHAnsi"/>
          <w:lang w:val="en-GB"/>
        </w:rPr>
        <w:t xml:space="preserve"> </w:t>
      </w:r>
    </w:p>
    <w:p w14:paraId="17CB5CCD" w14:textId="77777777" w:rsidR="00F149DF" w:rsidRPr="00B9564F" w:rsidRDefault="00F149DF" w:rsidP="00F149DF">
      <w:pPr>
        <w:spacing w:line="259" w:lineRule="auto"/>
        <w:jc w:val="both"/>
        <w:rPr>
          <w:rFonts w:cstheme="minorHAnsi"/>
          <w:lang w:val="en-GB"/>
        </w:rPr>
      </w:pPr>
      <w:r w:rsidRPr="00B9564F">
        <w:rPr>
          <w:rFonts w:cstheme="minorHAnsi"/>
          <w:lang w:val="en-GB"/>
        </w:rPr>
        <w:t xml:space="preserve">Latest submissions: </w:t>
      </w:r>
      <w:hyperlink r:id="rId19" w:history="1">
        <w:r>
          <w:rPr>
            <w:rStyle w:val="Hyperlink"/>
            <w:rFonts w:cstheme="minorHAnsi"/>
            <w:lang w:val="en-GB"/>
          </w:rPr>
          <w:t>DH-DD(2024)695</w:t>
        </w:r>
      </w:hyperlink>
      <w:r w:rsidRPr="00B9564F">
        <w:rPr>
          <w:rFonts w:cstheme="minorHAnsi"/>
          <w:lang w:val="en-GB"/>
        </w:rPr>
        <w:t xml:space="preserve"> </w:t>
      </w:r>
    </w:p>
    <w:bookmarkEnd w:id="3"/>
    <w:p w14:paraId="36120752" w14:textId="77777777" w:rsidR="00F149DF" w:rsidRDefault="00F149DF">
      <w:pPr>
        <w:rPr>
          <w:rFonts w:cs="Arial"/>
          <w:color w:val="FFFFFF" w:themeColor="background1"/>
          <w:sz w:val="22"/>
          <w:szCs w:val="22"/>
          <w:shd w:val="clear" w:color="auto" w:fill="1F3864" w:themeFill="accent1" w:themeFillShade="80"/>
          <w:lang w:val="en-US"/>
        </w:rPr>
      </w:pPr>
    </w:p>
    <w:p w14:paraId="38EA59EB" w14:textId="0A0EF73B" w:rsidR="002620CC" w:rsidRDefault="002620CC" w:rsidP="002620CC">
      <w:pPr>
        <w:keepNext/>
        <w:spacing w:before="320"/>
        <w:outlineLvl w:val="0"/>
        <w:rPr>
          <w:rFonts w:ascii="Calibri Light" w:eastAsia="Times New Roman" w:hAnsi="Calibri Light" w:cs="Calibri Light"/>
          <w:color w:val="2F5496"/>
          <w:kern w:val="36"/>
          <w:sz w:val="32"/>
          <w:szCs w:val="32"/>
          <w:lang w:val="en-US"/>
        </w:rPr>
      </w:pPr>
      <w:bookmarkStart w:id="4" w:name="_Toc36635832"/>
      <w:r w:rsidRPr="00C67E9E">
        <w:rPr>
          <w:rFonts w:ascii="Calibri Light" w:eastAsia="Times New Roman" w:hAnsi="Calibri Light" w:cs="Calibri Light"/>
          <w:color w:val="2F5496"/>
          <w:kern w:val="36"/>
          <w:sz w:val="32"/>
          <w:szCs w:val="32"/>
          <w:lang w:val="en-US"/>
        </w:rPr>
        <w:t xml:space="preserve">II </w:t>
      </w:r>
      <w:r w:rsidRPr="002620CC">
        <w:rPr>
          <w:rFonts w:ascii="Calibri Light" w:eastAsia="Times New Roman" w:hAnsi="Calibri Light" w:cs="Calibri Light"/>
          <w:color w:val="2F5496"/>
          <w:kern w:val="36"/>
          <w:sz w:val="32"/>
          <w:szCs w:val="32"/>
          <w:lang w:val="en-US"/>
        </w:rPr>
        <w:t>Anti-corruption framework</w:t>
      </w:r>
      <w:bookmarkEnd w:id="4"/>
      <w:r w:rsidRPr="002620CC">
        <w:rPr>
          <w:rFonts w:ascii="Calibri Light" w:eastAsia="Times New Roman" w:hAnsi="Calibri Light" w:cs="Calibri Light"/>
          <w:color w:val="2F5496"/>
          <w:kern w:val="36"/>
          <w:sz w:val="32"/>
          <w:szCs w:val="32"/>
          <w:lang w:val="en-US"/>
        </w:rPr>
        <w:t xml:space="preserve"> </w:t>
      </w:r>
    </w:p>
    <w:p w14:paraId="5E075F6C" w14:textId="77777777" w:rsidR="00C67E9E" w:rsidRPr="002620CC" w:rsidRDefault="00C67E9E" w:rsidP="002620CC">
      <w:pPr>
        <w:keepNext/>
        <w:spacing w:before="320"/>
        <w:outlineLvl w:val="0"/>
        <w:rPr>
          <w:rFonts w:ascii="Calibri Light" w:eastAsia="Times New Roman" w:hAnsi="Calibri Light" w:cs="Calibri Light"/>
          <w:color w:val="2F5496"/>
          <w:kern w:val="36"/>
          <w:sz w:val="32"/>
          <w:szCs w:val="32"/>
          <w:lang w:val="en-US"/>
        </w:rPr>
      </w:pPr>
    </w:p>
    <w:p w14:paraId="7D519F2C" w14:textId="77777777" w:rsidR="00C67E9E" w:rsidRDefault="00C67E9E" w:rsidP="00C67E9E">
      <w:pPr>
        <w:rPr>
          <w:lang w:val="en-US"/>
        </w:rPr>
      </w:pPr>
      <w:r>
        <w:rPr>
          <w:lang w:val="en-US"/>
        </w:rPr>
        <w:t>GRECO (24 September 2024)</w:t>
      </w:r>
    </w:p>
    <w:p w14:paraId="3F544ADA" w14:textId="77777777" w:rsidR="00C67E9E" w:rsidRDefault="00000000" w:rsidP="00C67E9E">
      <w:pPr>
        <w:rPr>
          <w:lang w:val="en-US"/>
        </w:rPr>
      </w:pPr>
      <w:hyperlink r:id="rId20" w:history="1">
        <w:r w:rsidR="00C67E9E" w:rsidRPr="00F02266">
          <w:rPr>
            <w:rStyle w:val="Hyperlink"/>
            <w:lang w:val="en-US"/>
          </w:rPr>
          <w:t>Compliance Report</w:t>
        </w:r>
      </w:hyperlink>
      <w:r w:rsidR="00C67E9E">
        <w:rPr>
          <w:lang w:val="en-US"/>
        </w:rPr>
        <w:t xml:space="preserve"> </w:t>
      </w:r>
    </w:p>
    <w:p w14:paraId="1FC86E61" w14:textId="77777777" w:rsidR="00C67E9E" w:rsidRDefault="00C67E9E" w:rsidP="00C67E9E">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673F4944" w14:textId="77777777" w:rsidR="00C67E9E" w:rsidRDefault="00C67E9E" w:rsidP="00C67E9E">
      <w:pPr>
        <w:rPr>
          <w:lang w:val="en-GB"/>
        </w:rPr>
      </w:pPr>
    </w:p>
    <w:p w14:paraId="6A0C8481" w14:textId="77777777" w:rsidR="00C67E9E" w:rsidRDefault="00C67E9E" w:rsidP="00C67E9E">
      <w:pPr>
        <w:rPr>
          <w:lang w:val="en-GB"/>
        </w:rPr>
      </w:pPr>
    </w:p>
    <w:p w14:paraId="3B80D337" w14:textId="77777777" w:rsidR="00C67E9E" w:rsidRDefault="00C67E9E" w:rsidP="00C67E9E">
      <w:pPr>
        <w:rPr>
          <w:lang w:val="en-GB"/>
        </w:rPr>
      </w:pPr>
    </w:p>
    <w:p w14:paraId="01EAA13B" w14:textId="77777777" w:rsidR="00C67E9E" w:rsidRDefault="00C67E9E" w:rsidP="00C67E9E">
      <w:pPr>
        <w:rPr>
          <w:lang w:val="en-GB"/>
        </w:rPr>
      </w:pPr>
      <w:r>
        <w:rPr>
          <w:lang w:val="en-GB"/>
        </w:rPr>
        <w:t>GRECO (30 January 2024)</w:t>
      </w:r>
    </w:p>
    <w:p w14:paraId="2137FAA6" w14:textId="77777777" w:rsidR="00C67E9E" w:rsidRDefault="00000000" w:rsidP="00C67E9E">
      <w:pPr>
        <w:rPr>
          <w:lang w:val="en-GB"/>
        </w:rPr>
      </w:pPr>
      <w:hyperlink r:id="rId21" w:history="1">
        <w:r w:rsidR="00C67E9E" w:rsidRPr="0066239C">
          <w:rPr>
            <w:rStyle w:val="Hyperlink"/>
            <w:lang w:val="en-GB"/>
          </w:rPr>
          <w:t>Addendum to the Second Compliance Report</w:t>
        </w:r>
      </w:hyperlink>
    </w:p>
    <w:p w14:paraId="7B977E35" w14:textId="77777777" w:rsidR="00C67E9E" w:rsidRDefault="00C67E9E" w:rsidP="00C67E9E">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726B831F" w14:textId="77777777" w:rsidR="00C056C2" w:rsidRDefault="00C056C2" w:rsidP="00C67E9E">
      <w:pPr>
        <w:rPr>
          <w:lang w:val="en-GB"/>
        </w:rPr>
      </w:pPr>
    </w:p>
    <w:p w14:paraId="00D0624C" w14:textId="77777777" w:rsidR="00C056C2" w:rsidRDefault="00C056C2" w:rsidP="00C67E9E">
      <w:pPr>
        <w:rPr>
          <w:lang w:val="en-GB"/>
        </w:rPr>
      </w:pPr>
    </w:p>
    <w:p w14:paraId="3CA77B67" w14:textId="77777777" w:rsidR="00C056C2" w:rsidRPr="00F149DF" w:rsidRDefault="00C056C2" w:rsidP="00C056C2">
      <w:pPr>
        <w:pStyle w:val="NoSpacing"/>
        <w:rPr>
          <w:rFonts w:ascii="Calibri" w:hAnsi="Calibri" w:cs="Calibri"/>
          <w:color w:val="161616"/>
          <w:lang w:val="it-IT"/>
        </w:rPr>
      </w:pPr>
      <w:r w:rsidRPr="00F149DF">
        <w:rPr>
          <w:rFonts w:ascii="Calibri" w:hAnsi="Calibri" w:cs="Calibri"/>
          <w:color w:val="161616"/>
          <w:lang w:val="it-IT"/>
        </w:rPr>
        <w:t xml:space="preserve">MONEYVAL </w:t>
      </w:r>
    </w:p>
    <w:p w14:paraId="00360586" w14:textId="77777777" w:rsidR="00C056C2" w:rsidRPr="00F149DF" w:rsidRDefault="00C056C2" w:rsidP="00C056C2">
      <w:pPr>
        <w:pStyle w:val="NoSpacing"/>
        <w:rPr>
          <w:rFonts w:ascii="Calibri" w:hAnsi="Calibri" w:cs="Calibri"/>
          <w:color w:val="161616"/>
          <w:lang w:val="it-IT"/>
        </w:rPr>
      </w:pPr>
      <w:r w:rsidRPr="00F149DF">
        <w:rPr>
          <w:rFonts w:ascii="Calibri" w:hAnsi="Calibri" w:cs="Calibri"/>
          <w:color w:val="161616"/>
          <w:lang w:val="it-IT"/>
        </w:rPr>
        <w:t xml:space="preserve">N/A </w:t>
      </w:r>
    </w:p>
    <w:p w14:paraId="337E96C2" w14:textId="77777777" w:rsidR="00C056C2" w:rsidRPr="00F149DF" w:rsidRDefault="00C056C2" w:rsidP="00C056C2">
      <w:pPr>
        <w:pStyle w:val="NoSpacing"/>
        <w:rPr>
          <w:rFonts w:ascii="Calibri" w:hAnsi="Calibri" w:cs="Calibri"/>
          <w:color w:val="161616"/>
          <w:lang w:val="it-IT"/>
        </w:rPr>
      </w:pPr>
    </w:p>
    <w:p w14:paraId="1A6A6958" w14:textId="77777777" w:rsidR="00C056C2" w:rsidRPr="00F149DF" w:rsidRDefault="00C056C2" w:rsidP="00C056C2">
      <w:pPr>
        <w:pStyle w:val="NoSpacing"/>
        <w:rPr>
          <w:rFonts w:ascii="Calibri" w:hAnsi="Calibri" w:cs="Calibri"/>
          <w:color w:val="161616"/>
          <w:lang w:val="it-IT"/>
        </w:rPr>
      </w:pPr>
      <w:r w:rsidRPr="00F149DF">
        <w:rPr>
          <w:rFonts w:ascii="Calibri" w:hAnsi="Calibri" w:cs="Calibri"/>
          <w:color w:val="161616"/>
          <w:lang w:val="it-IT"/>
        </w:rPr>
        <w:t xml:space="preserve">COP 198 </w:t>
      </w:r>
    </w:p>
    <w:p w14:paraId="7F582729" w14:textId="77777777" w:rsidR="00C056C2" w:rsidRPr="00F149DF" w:rsidRDefault="00C056C2" w:rsidP="00C056C2">
      <w:pPr>
        <w:pStyle w:val="NoSpacing"/>
        <w:rPr>
          <w:rFonts w:ascii="Calibri" w:hAnsi="Calibri" w:cs="Calibri"/>
          <w:color w:val="161616"/>
          <w:lang w:val="it-IT"/>
        </w:rPr>
      </w:pPr>
      <w:r w:rsidRPr="00F149DF">
        <w:rPr>
          <w:rFonts w:ascii="Calibri" w:hAnsi="Calibri" w:cs="Calibri"/>
          <w:color w:val="161616"/>
          <w:lang w:val="it-IT"/>
        </w:rPr>
        <w:t>N/A</w:t>
      </w:r>
    </w:p>
    <w:p w14:paraId="1EE119CC" w14:textId="77777777" w:rsidR="00C056C2" w:rsidRPr="00F149DF" w:rsidRDefault="00C056C2" w:rsidP="00C67E9E">
      <w:pPr>
        <w:rPr>
          <w:lang w:val="it-IT"/>
        </w:rPr>
      </w:pPr>
    </w:p>
    <w:p w14:paraId="11886B4F" w14:textId="77777777" w:rsidR="002620CC" w:rsidRPr="00F149DF" w:rsidRDefault="002620CC" w:rsidP="002620CC">
      <w:pPr>
        <w:keepNext/>
        <w:spacing w:before="320"/>
        <w:outlineLvl w:val="0"/>
        <w:rPr>
          <w:rFonts w:ascii="Calibri Light" w:eastAsia="Times New Roman" w:hAnsi="Calibri Light" w:cs="Calibri Light"/>
          <w:color w:val="2F5496"/>
          <w:kern w:val="36"/>
          <w:sz w:val="32"/>
          <w:szCs w:val="32"/>
          <w:lang w:val="it-IT"/>
        </w:rPr>
      </w:pPr>
    </w:p>
    <w:p w14:paraId="39896E7F" w14:textId="77777777" w:rsidR="002620CC" w:rsidRPr="00F149DF" w:rsidRDefault="002620CC" w:rsidP="002620CC">
      <w:pPr>
        <w:keepNext/>
        <w:spacing w:before="320"/>
        <w:outlineLvl w:val="0"/>
        <w:rPr>
          <w:rFonts w:ascii="Calibri Light" w:eastAsia="Times New Roman" w:hAnsi="Calibri Light" w:cs="Calibri Light"/>
          <w:color w:val="2F5496"/>
          <w:kern w:val="36"/>
          <w:sz w:val="32"/>
          <w:szCs w:val="32"/>
          <w:lang w:val="it-IT"/>
        </w:rPr>
      </w:pPr>
    </w:p>
    <w:p w14:paraId="6860CBD6" w14:textId="77777777" w:rsidR="002620CC" w:rsidRPr="00F149DF" w:rsidRDefault="002620CC" w:rsidP="002620CC">
      <w:pPr>
        <w:keepNext/>
        <w:spacing w:before="320"/>
        <w:outlineLvl w:val="0"/>
        <w:rPr>
          <w:rFonts w:ascii="Calibri Light" w:eastAsia="Times New Roman" w:hAnsi="Calibri Light" w:cs="Calibri Light"/>
          <w:color w:val="2F5496"/>
          <w:kern w:val="36"/>
          <w:sz w:val="32"/>
          <w:szCs w:val="32"/>
          <w:lang w:val="it-IT"/>
        </w:rPr>
      </w:pPr>
      <w:bookmarkStart w:id="5" w:name="_Toc36635845"/>
      <w:r w:rsidRPr="00F149DF">
        <w:rPr>
          <w:rFonts w:ascii="Calibri Light" w:eastAsia="Times New Roman" w:hAnsi="Calibri Light" w:cs="Calibri Light"/>
          <w:color w:val="2F5496"/>
          <w:kern w:val="36"/>
          <w:sz w:val="32"/>
          <w:szCs w:val="32"/>
          <w:lang w:val="it-IT"/>
        </w:rPr>
        <w:t>III Media pluralism</w:t>
      </w:r>
      <w:bookmarkEnd w:id="5"/>
      <w:r w:rsidRPr="00F149DF">
        <w:rPr>
          <w:rFonts w:ascii="Calibri Light" w:eastAsia="Times New Roman" w:hAnsi="Calibri Light" w:cs="Calibri Light"/>
          <w:color w:val="2F5496"/>
          <w:kern w:val="36"/>
          <w:sz w:val="32"/>
          <w:szCs w:val="32"/>
          <w:lang w:val="it-IT"/>
        </w:rPr>
        <w:t xml:space="preserve"> </w:t>
      </w:r>
    </w:p>
    <w:p w14:paraId="6478B871" w14:textId="77777777" w:rsidR="002620CC" w:rsidRPr="00F149DF" w:rsidRDefault="002620CC" w:rsidP="002620CC">
      <w:pPr>
        <w:keepNext/>
        <w:spacing w:before="320"/>
        <w:outlineLvl w:val="0"/>
        <w:rPr>
          <w:rFonts w:ascii="Calibri Light" w:eastAsia="Times New Roman" w:hAnsi="Calibri Light" w:cs="Calibri Light"/>
          <w:color w:val="2F5496"/>
          <w:kern w:val="36"/>
          <w:sz w:val="32"/>
          <w:szCs w:val="32"/>
          <w:lang w:val="it-IT"/>
        </w:rPr>
      </w:pPr>
    </w:p>
    <w:p w14:paraId="0648AFE1" w14:textId="77777777" w:rsidR="002620CC" w:rsidRPr="00F149DF" w:rsidRDefault="002620CC" w:rsidP="002620CC">
      <w:pPr>
        <w:keepNext/>
        <w:spacing w:before="320"/>
        <w:outlineLvl w:val="0"/>
        <w:rPr>
          <w:rFonts w:ascii="Calibri Light" w:eastAsia="Times New Roman" w:hAnsi="Calibri Light" w:cs="Calibri Light"/>
          <w:color w:val="2F5496"/>
          <w:kern w:val="36"/>
          <w:sz w:val="32"/>
          <w:szCs w:val="32"/>
          <w:lang w:val="it-IT"/>
        </w:rPr>
      </w:pPr>
    </w:p>
    <w:p w14:paraId="2D9002A3" w14:textId="77777777" w:rsidR="002620CC" w:rsidRPr="002620CC" w:rsidRDefault="002620CC" w:rsidP="002620CC">
      <w:pPr>
        <w:keepNext/>
        <w:spacing w:before="320"/>
        <w:outlineLvl w:val="0"/>
        <w:rPr>
          <w:rFonts w:ascii="Calibri Light" w:eastAsia="Times New Roman" w:hAnsi="Calibri Light" w:cs="Calibri Light"/>
          <w:color w:val="2F5496"/>
          <w:kern w:val="36"/>
          <w:sz w:val="32"/>
          <w:szCs w:val="32"/>
          <w:lang w:val="en-US"/>
        </w:rPr>
      </w:pPr>
      <w:bookmarkStart w:id="6" w:name="_Toc36635858"/>
      <w:r w:rsidRPr="002620CC">
        <w:rPr>
          <w:rFonts w:ascii="Calibri Light" w:eastAsia="Times New Roman" w:hAnsi="Calibri Light" w:cs="Calibri Light"/>
          <w:color w:val="2F5496"/>
          <w:kern w:val="36"/>
          <w:sz w:val="32"/>
          <w:szCs w:val="32"/>
          <w:lang w:val="en-US"/>
        </w:rPr>
        <w:t>IV Other institutional issues related to checks and balances</w:t>
      </w:r>
      <w:bookmarkEnd w:id="6"/>
      <w:r w:rsidRPr="002620CC">
        <w:rPr>
          <w:rFonts w:ascii="Calibri Light" w:eastAsia="Times New Roman" w:hAnsi="Calibri Light" w:cs="Calibri Light"/>
          <w:color w:val="2F5496"/>
          <w:kern w:val="36"/>
          <w:sz w:val="32"/>
          <w:szCs w:val="32"/>
          <w:lang w:val="en-US"/>
        </w:rPr>
        <w:t xml:space="preserve"> </w:t>
      </w:r>
    </w:p>
    <w:p w14:paraId="36521668" w14:textId="77777777" w:rsidR="002620CC" w:rsidRDefault="002620CC">
      <w:pPr>
        <w:rPr>
          <w:rFonts w:cs="Arial"/>
          <w:color w:val="FFFFFF" w:themeColor="background1"/>
          <w:sz w:val="22"/>
          <w:szCs w:val="22"/>
          <w:shd w:val="clear" w:color="auto" w:fill="1F3864" w:themeFill="accent1" w:themeFillShade="80"/>
          <w:lang w:val="en-US"/>
        </w:rPr>
      </w:pPr>
    </w:p>
    <w:p w14:paraId="0C8880AC" w14:textId="6BBCF503" w:rsidR="0059484C" w:rsidRDefault="0059484C" w:rsidP="0059484C">
      <w:pPr>
        <w:jc w:val="both"/>
        <w:rPr>
          <w:lang w:val="en-US"/>
        </w:rPr>
      </w:pPr>
      <w:r w:rsidRPr="00244BA6">
        <w:rPr>
          <w:lang w:val="en-US"/>
        </w:rPr>
        <w:t>National Preventive Mechanism (NPM)</w:t>
      </w:r>
    </w:p>
    <w:p w14:paraId="5022203D" w14:textId="77777777" w:rsidR="0059484C" w:rsidRDefault="0059484C" w:rsidP="0059484C">
      <w:pPr>
        <w:jc w:val="both"/>
        <w:rPr>
          <w:lang w:val="en-US"/>
        </w:rPr>
      </w:pPr>
    </w:p>
    <w:p w14:paraId="183F14D3" w14:textId="1EBB2509" w:rsidR="0059484C" w:rsidRPr="00244BA6" w:rsidRDefault="0059484C" w:rsidP="0059484C">
      <w:pPr>
        <w:jc w:val="both"/>
        <w:rPr>
          <w:lang w:val="en-US"/>
        </w:rPr>
      </w:pPr>
      <w:r>
        <w:rPr>
          <w:lang w:val="en-US"/>
        </w:rPr>
        <w:t>Ireland is making steps towards establishing</w:t>
      </w:r>
      <w:r w:rsidRPr="00244BA6">
        <w:rPr>
          <w:lang w:val="en-US"/>
        </w:rPr>
        <w:t xml:space="preserve"> a National Preventive Mechanism (NPM) under the Optional Protocol to the UN Convention Against Torture (OPCAT). Upon ratification of the OPCAT, Ireland plans to establish a multi-member NPM, with the Office of the Inspector of Prisons (OIP) becoming the Office for the Inspection of Places of Detention (OIPD), serving as the NPM for the criminal justice sector. This will mark a</w:t>
      </w:r>
      <w:r>
        <w:rPr>
          <w:lang w:val="en-US"/>
        </w:rPr>
        <w:t xml:space="preserve">n </w:t>
      </w:r>
      <w:r>
        <w:rPr>
          <w:lang w:val="en-US"/>
        </w:rPr>
        <w:lastRenderedPageBreak/>
        <w:t>important</w:t>
      </w:r>
      <w:r w:rsidRPr="00244BA6">
        <w:rPr>
          <w:lang w:val="en-US"/>
        </w:rPr>
        <w:t xml:space="preserve"> development, as it will introduce independent monitoring of police detention for the first time, addressing existing gaps in police accountability.</w:t>
      </w:r>
    </w:p>
    <w:p w14:paraId="470E971A" w14:textId="77777777" w:rsidR="0059484C" w:rsidRPr="00244BA6" w:rsidRDefault="0059484C" w:rsidP="0059484C">
      <w:pPr>
        <w:jc w:val="both"/>
        <w:rPr>
          <w:lang w:val="en-US"/>
        </w:rPr>
      </w:pPr>
    </w:p>
    <w:p w14:paraId="15C79FFB" w14:textId="77777777" w:rsidR="0059484C" w:rsidRDefault="0059484C" w:rsidP="0059484C">
      <w:pPr>
        <w:jc w:val="both"/>
        <w:rPr>
          <w:lang w:val="en-GB"/>
        </w:rPr>
      </w:pPr>
      <w:r w:rsidRPr="00244BA6">
        <w:rPr>
          <w:lang w:val="en-US"/>
        </w:rPr>
        <w:t>As Ireland moves closer to OPCAT ratification, expert technical support from the Council of Europe (</w:t>
      </w:r>
      <w:proofErr w:type="spellStart"/>
      <w:r w:rsidRPr="00244BA6">
        <w:rPr>
          <w:lang w:val="en-US"/>
        </w:rPr>
        <w:t>CoE</w:t>
      </w:r>
      <w:proofErr w:type="spellEnd"/>
      <w:r w:rsidRPr="00244BA6">
        <w:rPr>
          <w:lang w:val="en-US"/>
        </w:rPr>
        <w:t xml:space="preserve">) is being provided </w:t>
      </w:r>
      <w:r>
        <w:rPr>
          <w:lang w:val="en-US"/>
        </w:rPr>
        <w:t>through a joint EU-</w:t>
      </w:r>
      <w:proofErr w:type="spellStart"/>
      <w:r>
        <w:rPr>
          <w:lang w:val="en-US"/>
        </w:rPr>
        <w:t>CoE</w:t>
      </w:r>
      <w:proofErr w:type="spellEnd"/>
      <w:r>
        <w:rPr>
          <w:lang w:val="en-US"/>
        </w:rPr>
        <w:t xml:space="preserve"> project </w:t>
      </w:r>
      <w:r w:rsidRPr="00244BA6">
        <w:rPr>
          <w:lang w:val="en-GB"/>
        </w:rPr>
        <w:t>“Technical Support for More Effective and Resilient National Preventive Mechanisms (NPM)”</w:t>
      </w:r>
      <w:r>
        <w:rPr>
          <w:lang w:val="en-GB"/>
        </w:rPr>
        <w:t xml:space="preserve"> initiated in 2024.</w:t>
      </w:r>
    </w:p>
    <w:p w14:paraId="26512A5D" w14:textId="77777777" w:rsidR="0059484C" w:rsidRPr="00244BA6" w:rsidRDefault="0059484C" w:rsidP="0059484C">
      <w:pPr>
        <w:jc w:val="both"/>
        <w:rPr>
          <w:lang w:val="en-GB"/>
        </w:rPr>
      </w:pPr>
    </w:p>
    <w:p w14:paraId="12D304E2" w14:textId="77777777" w:rsidR="0059484C" w:rsidRPr="00244BA6" w:rsidRDefault="0059484C" w:rsidP="0059484C">
      <w:pPr>
        <w:jc w:val="both"/>
        <w:rPr>
          <w:lang w:val="en-US"/>
        </w:rPr>
      </w:pPr>
      <w:r>
        <w:rPr>
          <w:lang w:val="en-US"/>
        </w:rPr>
        <w:t xml:space="preserve">The project will contribute to </w:t>
      </w:r>
      <w:r w:rsidRPr="00244BA6">
        <w:rPr>
          <w:lang w:val="en-US"/>
        </w:rPr>
        <w:t>ensur</w:t>
      </w:r>
      <w:r>
        <w:rPr>
          <w:lang w:val="en-US"/>
        </w:rPr>
        <w:t>ing</w:t>
      </w:r>
      <w:r w:rsidRPr="00244BA6">
        <w:rPr>
          <w:lang w:val="en-US"/>
        </w:rPr>
        <w:t xml:space="preserve"> that the NPM is equipped with a strong operational framework and instruments to carry out its mandate effectively. This includes capacity building and awareness raising to prepare the OIPD and other stakeholders for their new roles. The </w:t>
      </w:r>
      <w:proofErr w:type="spellStart"/>
      <w:r w:rsidRPr="00244BA6">
        <w:rPr>
          <w:lang w:val="en-US"/>
        </w:rPr>
        <w:t>CoE's</w:t>
      </w:r>
      <w:proofErr w:type="spellEnd"/>
      <w:r w:rsidRPr="00244BA6">
        <w:rPr>
          <w:lang w:val="en-US"/>
        </w:rPr>
        <w:t xml:space="preserve"> support draws on best practices from other EU Member States and aims to create a comprehensive system for the protection of persons deprived of their liberty.</w:t>
      </w:r>
    </w:p>
    <w:p w14:paraId="446F1670" w14:textId="77777777" w:rsidR="0059484C" w:rsidRPr="00244BA6" w:rsidRDefault="0059484C" w:rsidP="0059484C">
      <w:pPr>
        <w:jc w:val="both"/>
        <w:rPr>
          <w:lang w:val="en-US"/>
        </w:rPr>
      </w:pPr>
    </w:p>
    <w:p w14:paraId="74BC9356" w14:textId="77777777" w:rsidR="0059484C" w:rsidRPr="003D4F03" w:rsidRDefault="0059484C" w:rsidP="0059484C">
      <w:pPr>
        <w:jc w:val="both"/>
        <w:rPr>
          <w:lang w:val="en-US"/>
        </w:rPr>
      </w:pPr>
      <w:r w:rsidRPr="00244BA6">
        <w:rPr>
          <w:lang w:val="en-US"/>
        </w:rPr>
        <w:t>Ultimately, this project will support Ireland in establishing a strong and effective NPM, enabling the country to safeguard the rights of persons deprived of their liberty while facilitating knowledge-sharing with other EU Member States.</w:t>
      </w:r>
    </w:p>
    <w:p w14:paraId="2794F31B" w14:textId="77777777" w:rsidR="0059484C" w:rsidRPr="008B6B20" w:rsidRDefault="0059484C">
      <w:pPr>
        <w:rPr>
          <w:rFonts w:cs="Arial"/>
          <w:color w:val="FFFFFF" w:themeColor="background1"/>
          <w:sz w:val="22"/>
          <w:szCs w:val="22"/>
          <w:shd w:val="clear" w:color="auto" w:fill="1F3864" w:themeFill="accent1" w:themeFillShade="80"/>
          <w:lang w:val="en-US"/>
        </w:rPr>
      </w:pPr>
    </w:p>
    <w:sectPr w:rsidR="0059484C" w:rsidRPr="008B6B20" w:rsidSect="007B3B82">
      <w:footerReference w:type="defaul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5518" w14:textId="77777777" w:rsidR="00C121C1" w:rsidRDefault="00C121C1" w:rsidP="00857FF1">
      <w:r>
        <w:separator/>
      </w:r>
    </w:p>
  </w:endnote>
  <w:endnote w:type="continuationSeparator" w:id="0">
    <w:p w14:paraId="17EA9A86" w14:textId="77777777" w:rsidR="00C121C1" w:rsidRDefault="00C121C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1E3E8" w14:textId="77777777" w:rsidR="00C121C1" w:rsidRDefault="00C121C1" w:rsidP="00857FF1">
      <w:r>
        <w:separator/>
      </w:r>
    </w:p>
  </w:footnote>
  <w:footnote w:type="continuationSeparator" w:id="0">
    <w:p w14:paraId="00011D1C" w14:textId="77777777" w:rsidR="00C121C1" w:rsidRDefault="00C121C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E3E0A55"/>
    <w:multiLevelType w:val="hybridMultilevel"/>
    <w:tmpl w:val="3342B9A2"/>
    <w:lvl w:ilvl="0" w:tplc="D8B88E50">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2"/>
  </w:num>
  <w:num w:numId="10" w16cid:durableId="1182088185">
    <w:abstractNumId w:val="9"/>
  </w:num>
  <w:num w:numId="11" w16cid:durableId="360477782">
    <w:abstractNumId w:val="11"/>
  </w:num>
  <w:num w:numId="12" w16cid:durableId="1540388124">
    <w:abstractNumId w:val="0"/>
  </w:num>
  <w:num w:numId="13" w16cid:durableId="1922911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348"/>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20CC"/>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71625"/>
    <w:rsid w:val="00491D94"/>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484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37BA2"/>
    <w:rsid w:val="00742FA8"/>
    <w:rsid w:val="00744D22"/>
    <w:rsid w:val="00756962"/>
    <w:rsid w:val="0076072F"/>
    <w:rsid w:val="0076444E"/>
    <w:rsid w:val="00772288"/>
    <w:rsid w:val="007959C1"/>
    <w:rsid w:val="007A270E"/>
    <w:rsid w:val="007B3B82"/>
    <w:rsid w:val="007D198D"/>
    <w:rsid w:val="007D262D"/>
    <w:rsid w:val="007E2BE3"/>
    <w:rsid w:val="007F2A4E"/>
    <w:rsid w:val="007F352D"/>
    <w:rsid w:val="007F3ECA"/>
    <w:rsid w:val="008131ED"/>
    <w:rsid w:val="00833496"/>
    <w:rsid w:val="00833AA1"/>
    <w:rsid w:val="00840C74"/>
    <w:rsid w:val="00857FF1"/>
    <w:rsid w:val="008617BA"/>
    <w:rsid w:val="00861CFB"/>
    <w:rsid w:val="00867818"/>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B0C60"/>
    <w:rsid w:val="00BD211A"/>
    <w:rsid w:val="00BD26EA"/>
    <w:rsid w:val="00BE1EE0"/>
    <w:rsid w:val="00BE2ADB"/>
    <w:rsid w:val="00BF5595"/>
    <w:rsid w:val="00C003A4"/>
    <w:rsid w:val="00C056C2"/>
    <w:rsid w:val="00C06969"/>
    <w:rsid w:val="00C06D56"/>
    <w:rsid w:val="00C121C1"/>
    <w:rsid w:val="00C32CE5"/>
    <w:rsid w:val="00C36F07"/>
    <w:rsid w:val="00C45527"/>
    <w:rsid w:val="00C5444D"/>
    <w:rsid w:val="00C6182C"/>
    <w:rsid w:val="00C67E9E"/>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001DD"/>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EF6DD9"/>
    <w:rsid w:val="00F070DD"/>
    <w:rsid w:val="00F149DF"/>
    <w:rsid w:val="00F3151D"/>
    <w:rsid w:val="00F375C2"/>
    <w:rsid w:val="00F448D1"/>
    <w:rsid w:val="00F5679C"/>
    <w:rsid w:val="00F71177"/>
    <w:rsid w:val="00F74958"/>
    <w:rsid w:val="00F7793C"/>
    <w:rsid w:val="00F8213F"/>
    <w:rsid w:val="00F847EB"/>
    <w:rsid w:val="00F8563D"/>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55485808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CM/Del/Dec(2024)1507/H46-14E" TargetMode="External"/><Relationship Id="rId3" Type="http://schemas.openxmlformats.org/officeDocument/2006/relationships/styles" Target="styles.xml"/><Relationship Id="rId21" Type="http://schemas.openxmlformats.org/officeDocument/2006/relationships/hyperlink" Target="https://rm.coe.int/fourth-evaluation-round-corruption-prevention-in-respect-of-members-of/1680ae51d4" TargetMode="External"/><Relationship Id="rId7" Type="http://schemas.openxmlformats.org/officeDocument/2006/relationships/endnotes" Target="endnotes.xml"/><Relationship Id="rId12" Type="http://schemas.openxmlformats.org/officeDocument/2006/relationships/hyperlink" Target="https://rm.coe.int/ireland-eu-scoreboard-country-fiches-2022-data/1680b065f8" TargetMode="External"/><Relationship Id="rId17" Type="http://schemas.openxmlformats.org/officeDocument/2006/relationships/hyperlink" Target="https://hudoc.exec.coe.int/FR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hudoc.exec.coe.int/FRE?i=004-1944" TargetMode="External"/><Relationship Id="rId20" Type="http://schemas.openxmlformats.org/officeDocument/2006/relationships/hyperlink" Target="https://rm.coe.int/fifth-evaluation-round-preventing-corruption-and-promoting-integrity-i/1680b1b3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ireland-en/1680b21e8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hudoc.exec.coe.int/eng?i=DH-DD(2024)695E"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2025-01-20T14:40:00Z</dcterms:created>
  <dcterms:modified xsi:type="dcterms:W3CDTF">2025-02-03T07:35:00Z</dcterms:modified>
</cp:coreProperties>
</file>